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45089">
      <w:pPr>
        <w:spacing w:line="560" w:lineRule="exact"/>
        <w:textAlignment w:val="baseline"/>
        <w:rPr>
          <w:rFonts w:hint="eastAsia"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附件1</w:t>
      </w:r>
    </w:p>
    <w:p w14:paraId="4DB260C0">
      <w:pPr>
        <w:spacing w:line="560" w:lineRule="exact"/>
        <w:jc w:val="center"/>
        <w:rPr>
          <w:rFonts w:ascii="方正小标宋简体" w:hAnsi="Times New Roman" w:eastAsia="方正小标宋简体"/>
          <w:iCs/>
          <w:sz w:val="36"/>
          <w:szCs w:val="36"/>
        </w:rPr>
      </w:pPr>
      <w:bookmarkStart w:id="0" w:name="_Hlk179277350"/>
      <w:r>
        <w:rPr>
          <w:rFonts w:hint="eastAsia" w:ascii="方正小标宋简体" w:hAnsi="Times New Roman" w:eastAsia="方正小标宋简体"/>
          <w:iCs/>
          <w:sz w:val="36"/>
          <w:szCs w:val="36"/>
        </w:rPr>
        <w:t>2026年第2期高校“一站式”学生社区建设</w:t>
      </w:r>
    </w:p>
    <w:p w14:paraId="4F367C71">
      <w:pPr>
        <w:spacing w:line="560" w:lineRule="exact"/>
        <w:jc w:val="center"/>
        <w:rPr>
          <w:rFonts w:ascii="方正小标宋简体" w:hAnsi="Times New Roman" w:eastAsia="方正小标宋简体"/>
          <w:iCs/>
          <w:sz w:val="36"/>
          <w:szCs w:val="36"/>
        </w:rPr>
      </w:pPr>
      <w:r>
        <w:rPr>
          <w:rFonts w:hint="eastAsia" w:ascii="方正小标宋简体" w:hAnsi="Times New Roman" w:eastAsia="方正小标宋简体"/>
          <w:iCs/>
          <w:sz w:val="36"/>
          <w:szCs w:val="36"/>
        </w:rPr>
        <w:t>提质增效专题研修班</w:t>
      </w:r>
    </w:p>
    <w:p w14:paraId="7850DAF5">
      <w:pPr>
        <w:spacing w:after="156" w:afterLines="50" w:line="56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hAnsi="Times New Roman" w:eastAsia="方正小标宋简体"/>
          <w:iCs/>
          <w:sz w:val="36"/>
          <w:szCs w:val="36"/>
        </w:rPr>
        <w:t>日程安排</w:t>
      </w:r>
      <w:bookmarkEnd w:id="0"/>
    </w:p>
    <w:tbl>
      <w:tblPr>
        <w:tblStyle w:val="4"/>
        <w:tblpPr w:leftFromText="180" w:rightFromText="180" w:vertAnchor="text" w:horzAnchor="page" w:tblpX="1131" w:tblpY="108"/>
        <w:tblOverlap w:val="never"/>
        <w:tblW w:w="5549" w:type="pct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6"/>
        <w:gridCol w:w="798"/>
        <w:gridCol w:w="4825"/>
        <w:gridCol w:w="2329"/>
      </w:tblGrid>
      <w:tr w14:paraId="55A4679E">
        <w:trPr>
          <w:cantSplit/>
          <w:trHeight w:val="714" w:hRule="exact"/>
        </w:trPr>
        <w:tc>
          <w:tcPr>
            <w:tcW w:w="1218" w:type="pct"/>
            <w:gridSpan w:val="2"/>
            <w:vAlign w:val="center"/>
          </w:tcPr>
          <w:p w14:paraId="50ECD606">
            <w:pPr>
              <w:spacing w:line="32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日期</w:t>
            </w:r>
          </w:p>
        </w:tc>
        <w:tc>
          <w:tcPr>
            <w:tcW w:w="2551" w:type="pct"/>
            <w:vAlign w:val="center"/>
          </w:tcPr>
          <w:p w14:paraId="28DB891C">
            <w:pPr>
              <w:spacing w:line="32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内容安排</w:t>
            </w:r>
          </w:p>
        </w:tc>
        <w:tc>
          <w:tcPr>
            <w:tcW w:w="1231" w:type="pct"/>
            <w:vAlign w:val="center"/>
          </w:tcPr>
          <w:p w14:paraId="396CE069">
            <w:pPr>
              <w:spacing w:line="320" w:lineRule="exact"/>
              <w:jc w:val="center"/>
              <w:rPr>
                <w:rFonts w:hint="eastAsia" w:ascii="黑体" w:hAnsi="黑体" w:eastAsia="黑体" w:cs="黑体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z w:val="28"/>
                <w:szCs w:val="28"/>
              </w:rPr>
              <w:t>主讲人</w:t>
            </w:r>
          </w:p>
        </w:tc>
      </w:tr>
      <w:tr w14:paraId="52DB17A6">
        <w:trPr>
          <w:cantSplit/>
          <w:trHeight w:val="724" w:hRule="exact"/>
        </w:trPr>
        <w:tc>
          <w:tcPr>
            <w:tcW w:w="796" w:type="pct"/>
            <w:vAlign w:val="center"/>
          </w:tcPr>
          <w:p w14:paraId="1F27F7B6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10月13日</w:t>
            </w:r>
          </w:p>
          <w:p w14:paraId="5B56B664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（周二）</w:t>
            </w:r>
          </w:p>
        </w:tc>
        <w:tc>
          <w:tcPr>
            <w:tcW w:w="422" w:type="pct"/>
            <w:vAlign w:val="center"/>
          </w:tcPr>
          <w:p w14:paraId="289FF9CA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下午</w:t>
            </w:r>
          </w:p>
        </w:tc>
        <w:tc>
          <w:tcPr>
            <w:tcW w:w="2551" w:type="pct"/>
            <w:vAlign w:val="center"/>
          </w:tcPr>
          <w:p w14:paraId="1C3E7D9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sz w:val="24"/>
              </w:rPr>
              <w:t>学员报到</w:t>
            </w:r>
          </w:p>
        </w:tc>
        <w:tc>
          <w:tcPr>
            <w:tcW w:w="1231" w:type="pct"/>
            <w:vAlign w:val="center"/>
          </w:tcPr>
          <w:p w14:paraId="4A3F89BD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</w:p>
        </w:tc>
      </w:tr>
      <w:tr w14:paraId="2FAFFD55">
        <w:trPr>
          <w:cantSplit/>
          <w:trHeight w:val="705" w:hRule="exact"/>
        </w:trPr>
        <w:tc>
          <w:tcPr>
            <w:tcW w:w="796" w:type="pct"/>
            <w:vMerge w:val="restart"/>
            <w:vAlign w:val="center"/>
          </w:tcPr>
          <w:p w14:paraId="3A270B7B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10月14日</w:t>
            </w:r>
          </w:p>
          <w:p w14:paraId="06F02ECD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（周三）</w:t>
            </w:r>
          </w:p>
        </w:tc>
        <w:tc>
          <w:tcPr>
            <w:tcW w:w="422" w:type="pct"/>
            <w:vMerge w:val="restart"/>
            <w:vAlign w:val="center"/>
          </w:tcPr>
          <w:p w14:paraId="47401C07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上午</w:t>
            </w:r>
          </w:p>
        </w:tc>
        <w:tc>
          <w:tcPr>
            <w:tcW w:w="2551" w:type="pct"/>
            <w:vAlign w:val="center"/>
          </w:tcPr>
          <w:p w14:paraId="0180232C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开班式</w:t>
            </w:r>
          </w:p>
        </w:tc>
        <w:tc>
          <w:tcPr>
            <w:tcW w:w="1231" w:type="pct"/>
            <w:vAlign w:val="center"/>
          </w:tcPr>
          <w:p w14:paraId="7FCA16FF">
            <w:pPr>
              <w:spacing w:line="320" w:lineRule="exact"/>
              <w:jc w:val="center"/>
              <w:rPr>
                <w:rFonts w:ascii="Times New Roman" w:hAnsi="Times New Roman" w:eastAsia="仿宋" w:cs="仿宋"/>
                <w:sz w:val="24"/>
              </w:rPr>
            </w:pPr>
          </w:p>
        </w:tc>
      </w:tr>
      <w:tr w14:paraId="2118B273">
        <w:trPr>
          <w:cantSplit/>
          <w:trHeight w:val="705" w:hRule="exact"/>
        </w:trPr>
        <w:tc>
          <w:tcPr>
            <w:tcW w:w="796" w:type="pct"/>
            <w:vMerge w:val="continue"/>
            <w:vAlign w:val="center"/>
          </w:tcPr>
          <w:p w14:paraId="6D78F4A8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</w:p>
        </w:tc>
        <w:tc>
          <w:tcPr>
            <w:tcW w:w="422" w:type="pct"/>
            <w:vMerge w:val="continue"/>
            <w:vAlign w:val="center"/>
          </w:tcPr>
          <w:p w14:paraId="544EC1F3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</w:p>
        </w:tc>
        <w:tc>
          <w:tcPr>
            <w:tcW w:w="2551" w:type="pct"/>
            <w:vAlign w:val="center"/>
          </w:tcPr>
          <w:p w14:paraId="6C7356EC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“一站式”学生社区建设高质量发展的着力点</w:t>
            </w:r>
          </w:p>
        </w:tc>
        <w:tc>
          <w:tcPr>
            <w:tcW w:w="1231" w:type="pct"/>
            <w:vAlign w:val="center"/>
          </w:tcPr>
          <w:p w14:paraId="09953AB2">
            <w:pPr>
              <w:spacing w:line="320" w:lineRule="exact"/>
              <w:jc w:val="center"/>
              <w:rPr>
                <w:rFonts w:ascii="Times New Roman" w:hAnsi="Times New Roman" w:eastAsia="仿宋" w:cs="仿宋"/>
                <w:sz w:val="24"/>
              </w:rPr>
            </w:pPr>
            <w:r>
              <w:rPr>
                <w:rFonts w:hint="eastAsia" w:ascii="Times New Roman" w:hAnsi="Times New Roman" w:eastAsia="仿宋" w:cs="仿宋"/>
                <w:sz w:val="24"/>
              </w:rPr>
              <w:t>全国高校思想政治工作网负责同志</w:t>
            </w:r>
          </w:p>
        </w:tc>
      </w:tr>
      <w:tr w14:paraId="0944EF6E">
        <w:trPr>
          <w:cantSplit/>
          <w:trHeight w:val="786" w:hRule="exact"/>
        </w:trPr>
        <w:tc>
          <w:tcPr>
            <w:tcW w:w="796" w:type="pct"/>
            <w:vMerge w:val="continue"/>
            <w:vAlign w:val="center"/>
          </w:tcPr>
          <w:p w14:paraId="0D966070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</w:p>
        </w:tc>
        <w:tc>
          <w:tcPr>
            <w:tcW w:w="422" w:type="pct"/>
            <w:vMerge w:val="continue"/>
            <w:vAlign w:val="center"/>
          </w:tcPr>
          <w:p w14:paraId="5CFE6D82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</w:p>
        </w:tc>
        <w:tc>
          <w:tcPr>
            <w:tcW w:w="2551" w:type="pct"/>
            <w:vAlign w:val="center"/>
          </w:tcPr>
          <w:p w14:paraId="27BBFAFE">
            <w:pPr>
              <w:spacing w:line="320" w:lineRule="exact"/>
              <w:jc w:val="center"/>
              <w:rPr>
                <w:rFonts w:ascii="Times New Roman" w:hAnsi="Times New Roman" w:eastAsia="仿宋" w:cs="仿宋"/>
                <w:sz w:val="24"/>
              </w:rPr>
            </w:pPr>
            <w:r>
              <w:rPr>
                <w:rFonts w:hint="eastAsia" w:ascii="Times New Roman" w:hAnsi="Times New Roman" w:eastAsia="仿宋" w:cs="仿宋"/>
                <w:sz w:val="24"/>
              </w:rPr>
              <w:t>“</w:t>
            </w:r>
            <w:r>
              <w:rPr>
                <w:rFonts w:ascii="Times New Roman" w:hAnsi="Times New Roman" w:eastAsia="仿宋" w:cs="仿宋"/>
                <w:sz w:val="24"/>
              </w:rPr>
              <w:t>一站式</w:t>
            </w:r>
            <w:r>
              <w:rPr>
                <w:rFonts w:hint="eastAsia" w:ascii="Times New Roman" w:hAnsi="Times New Roman" w:eastAsia="仿宋" w:cs="仿宋"/>
                <w:sz w:val="24"/>
              </w:rPr>
              <w:t>”</w:t>
            </w:r>
            <w:r>
              <w:rPr>
                <w:rFonts w:ascii="Times New Roman" w:hAnsi="Times New Roman" w:eastAsia="仿宋" w:cs="仿宋"/>
                <w:sz w:val="24"/>
              </w:rPr>
              <w:t>学生社区综合管理模式建设创新性思考</w:t>
            </w:r>
          </w:p>
        </w:tc>
        <w:tc>
          <w:tcPr>
            <w:tcW w:w="1231" w:type="pct"/>
            <w:vAlign w:val="center"/>
          </w:tcPr>
          <w:p w14:paraId="4AC1A80C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sz w:val="24"/>
              </w:rPr>
              <w:t>西安交通大学</w:t>
            </w:r>
          </w:p>
        </w:tc>
      </w:tr>
      <w:tr w14:paraId="79787053">
        <w:trPr>
          <w:cantSplit/>
          <w:trHeight w:val="836" w:hRule="atLeast"/>
        </w:trPr>
        <w:tc>
          <w:tcPr>
            <w:tcW w:w="796" w:type="pct"/>
            <w:vMerge w:val="continue"/>
            <w:vAlign w:val="center"/>
          </w:tcPr>
          <w:p w14:paraId="34A2000A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</w:p>
        </w:tc>
        <w:tc>
          <w:tcPr>
            <w:tcW w:w="422" w:type="pct"/>
            <w:vAlign w:val="center"/>
          </w:tcPr>
          <w:p w14:paraId="45E8587F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下午</w:t>
            </w:r>
          </w:p>
        </w:tc>
        <w:tc>
          <w:tcPr>
            <w:tcW w:w="2551" w:type="pct"/>
            <w:vAlign w:val="center"/>
          </w:tcPr>
          <w:p w14:paraId="7D97EA4F">
            <w:pPr>
              <w:spacing w:line="320" w:lineRule="exact"/>
              <w:jc w:val="center"/>
              <w:rPr>
                <w:rFonts w:ascii="Times New Roman" w:hAnsi="Times New Roman" w:eastAsia="仿宋" w:cs="仿宋"/>
                <w:b/>
                <w:sz w:val="24"/>
              </w:rPr>
            </w:pPr>
            <w:r>
              <w:rPr>
                <w:rFonts w:hint="eastAsia" w:ascii="Times New Roman" w:hAnsi="Times New Roman" w:eastAsia="仿宋" w:cs="仿宋"/>
                <w:sz w:val="24"/>
              </w:rPr>
              <w:t>《高校“一站式”学生社区综合管理模式建设提质增效指南》（修订版）解读</w:t>
            </w:r>
          </w:p>
        </w:tc>
        <w:tc>
          <w:tcPr>
            <w:tcW w:w="1231" w:type="pct"/>
            <w:vAlign w:val="center"/>
          </w:tcPr>
          <w:p w14:paraId="21D46D09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哈尔滨工程大学</w:t>
            </w:r>
          </w:p>
        </w:tc>
      </w:tr>
      <w:tr w14:paraId="64C00942">
        <w:trPr>
          <w:cantSplit/>
          <w:trHeight w:val="767" w:hRule="atLeast"/>
        </w:trPr>
        <w:tc>
          <w:tcPr>
            <w:tcW w:w="796" w:type="pct"/>
            <w:vMerge w:val="restart"/>
            <w:vAlign w:val="center"/>
          </w:tcPr>
          <w:p w14:paraId="1C7A19B0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10月15日</w:t>
            </w:r>
          </w:p>
          <w:p w14:paraId="13384065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（周四）</w:t>
            </w:r>
          </w:p>
        </w:tc>
        <w:tc>
          <w:tcPr>
            <w:tcW w:w="422" w:type="pct"/>
            <w:vMerge w:val="restart"/>
            <w:vAlign w:val="center"/>
          </w:tcPr>
          <w:p w14:paraId="700B12CB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上午</w:t>
            </w:r>
          </w:p>
        </w:tc>
        <w:tc>
          <w:tcPr>
            <w:tcW w:w="2551" w:type="pct"/>
            <w:tcBorders>
              <w:bottom w:val="single" w:color="auto" w:sz="2" w:space="0"/>
            </w:tcBorders>
            <w:vAlign w:val="center"/>
          </w:tcPr>
          <w:p w14:paraId="73DCE71C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ascii="Times New Roman" w:hAnsi="Times New Roman" w:eastAsia="仿宋" w:cs="仿宋"/>
                <w:bCs/>
                <w:sz w:val="24"/>
              </w:rPr>
              <w:t>场域拓展与效能升级：新时代高校</w:t>
            </w:r>
            <w:r>
              <w:rPr>
                <w:rFonts w:hint="eastAsia" w:ascii="Times New Roman" w:hAnsi="Times New Roman" w:eastAsia="仿宋" w:cs="仿宋"/>
                <w:bCs/>
                <w:sz w:val="24"/>
              </w:rPr>
              <w:t>“</w:t>
            </w:r>
            <w:r>
              <w:rPr>
                <w:rFonts w:ascii="Times New Roman" w:hAnsi="Times New Roman" w:eastAsia="仿宋" w:cs="仿宋"/>
                <w:bCs/>
                <w:sz w:val="24"/>
              </w:rPr>
              <w:t>一站式</w:t>
            </w:r>
            <w:r>
              <w:rPr>
                <w:rFonts w:hint="eastAsia" w:ascii="Times New Roman" w:hAnsi="Times New Roman" w:eastAsia="仿宋" w:cs="仿宋"/>
                <w:bCs/>
                <w:sz w:val="24"/>
              </w:rPr>
              <w:t>”</w:t>
            </w:r>
            <w:r>
              <w:rPr>
                <w:rFonts w:ascii="Times New Roman" w:hAnsi="Times New Roman" w:eastAsia="仿宋" w:cs="仿宋"/>
                <w:bCs/>
                <w:sz w:val="24"/>
              </w:rPr>
              <w:t>学生社区高质量建设的思考</w:t>
            </w:r>
          </w:p>
        </w:tc>
        <w:tc>
          <w:tcPr>
            <w:tcW w:w="1231" w:type="pct"/>
            <w:vAlign w:val="center"/>
          </w:tcPr>
          <w:p w14:paraId="3CE11277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苏州大学</w:t>
            </w:r>
          </w:p>
        </w:tc>
      </w:tr>
      <w:tr w14:paraId="2B7552DE">
        <w:trPr>
          <w:cantSplit/>
          <w:trHeight w:val="849" w:hRule="atLeast"/>
        </w:trPr>
        <w:tc>
          <w:tcPr>
            <w:tcW w:w="796" w:type="pct"/>
            <w:vMerge w:val="continue"/>
            <w:vAlign w:val="center"/>
          </w:tcPr>
          <w:p w14:paraId="36302309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</w:p>
        </w:tc>
        <w:tc>
          <w:tcPr>
            <w:tcW w:w="422" w:type="pct"/>
            <w:vMerge w:val="continue"/>
            <w:vAlign w:val="center"/>
          </w:tcPr>
          <w:p w14:paraId="6FBCE5FC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</w:p>
        </w:tc>
        <w:tc>
          <w:tcPr>
            <w:tcW w:w="2551" w:type="pct"/>
            <w:tcBorders>
              <w:bottom w:val="single" w:color="auto" w:sz="4" w:space="0"/>
            </w:tcBorders>
            <w:vAlign w:val="center"/>
          </w:tcPr>
          <w:p w14:paraId="3CCFECF5">
            <w:pPr>
              <w:spacing w:line="320" w:lineRule="exact"/>
              <w:jc w:val="center"/>
              <w:rPr>
                <w:rFonts w:ascii="Times New Roman" w:hAnsi="Times New Roman" w:eastAsia="仿宋" w:cs="仿宋"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“</w:t>
            </w:r>
            <w:r>
              <w:rPr>
                <w:rFonts w:ascii="Times New Roman" w:hAnsi="Times New Roman" w:eastAsia="仿宋" w:cs="仿宋"/>
                <w:bCs/>
                <w:sz w:val="24"/>
              </w:rPr>
              <w:t>一站式</w:t>
            </w:r>
            <w:r>
              <w:rPr>
                <w:rFonts w:hint="eastAsia" w:ascii="Times New Roman" w:hAnsi="Times New Roman" w:eastAsia="仿宋" w:cs="仿宋"/>
                <w:bCs/>
                <w:sz w:val="24"/>
              </w:rPr>
              <w:t>”</w:t>
            </w:r>
            <w:r>
              <w:rPr>
                <w:rFonts w:ascii="Times New Roman" w:hAnsi="Times New Roman" w:eastAsia="仿宋" w:cs="仿宋"/>
                <w:bCs/>
                <w:sz w:val="24"/>
              </w:rPr>
              <w:t>学生社区高质量发展思考与实践</w:t>
            </w:r>
          </w:p>
        </w:tc>
        <w:tc>
          <w:tcPr>
            <w:tcW w:w="1231" w:type="pct"/>
            <w:vAlign w:val="center"/>
          </w:tcPr>
          <w:p w14:paraId="69C2A71A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江苏大学</w:t>
            </w:r>
          </w:p>
        </w:tc>
      </w:tr>
      <w:tr w14:paraId="5F680320">
        <w:trPr>
          <w:cantSplit/>
          <w:trHeight w:val="834" w:hRule="atLeast"/>
        </w:trPr>
        <w:tc>
          <w:tcPr>
            <w:tcW w:w="796" w:type="pct"/>
            <w:vMerge w:val="continue"/>
            <w:vAlign w:val="center"/>
          </w:tcPr>
          <w:p w14:paraId="4EF8D827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</w:p>
        </w:tc>
        <w:tc>
          <w:tcPr>
            <w:tcW w:w="422" w:type="pct"/>
            <w:vAlign w:val="center"/>
          </w:tcPr>
          <w:p w14:paraId="3B893147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下午</w:t>
            </w:r>
          </w:p>
        </w:tc>
        <w:tc>
          <w:tcPr>
            <w:tcW w:w="3782" w:type="pct"/>
            <w:gridSpan w:val="2"/>
            <w:tcBorders>
              <w:top w:val="single" w:color="auto" w:sz="4" w:space="0"/>
            </w:tcBorders>
            <w:vAlign w:val="center"/>
          </w:tcPr>
          <w:p w14:paraId="4A1C4557">
            <w:pPr>
              <w:spacing w:line="320" w:lineRule="exact"/>
              <w:jc w:val="center"/>
              <w:rPr>
                <w:rFonts w:ascii="Times New Roman" w:hAnsi="Times New Roman" w:eastAsia="仿宋" w:cs="仿宋"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示范社区调研：苏州大学“一站式”学生社区</w:t>
            </w:r>
          </w:p>
        </w:tc>
      </w:tr>
      <w:tr w14:paraId="070C6189">
        <w:trPr>
          <w:cantSplit/>
          <w:trHeight w:val="692" w:hRule="atLeast"/>
        </w:trPr>
        <w:tc>
          <w:tcPr>
            <w:tcW w:w="796" w:type="pct"/>
            <w:vMerge w:val="continue"/>
            <w:vAlign w:val="center"/>
          </w:tcPr>
          <w:p w14:paraId="344CC1C9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</w:p>
        </w:tc>
        <w:tc>
          <w:tcPr>
            <w:tcW w:w="422" w:type="pct"/>
            <w:vAlign w:val="center"/>
          </w:tcPr>
          <w:p w14:paraId="7FB309B7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晚上</w:t>
            </w:r>
          </w:p>
        </w:tc>
        <w:tc>
          <w:tcPr>
            <w:tcW w:w="3782" w:type="pct"/>
            <w:gridSpan w:val="2"/>
            <w:vAlign w:val="center"/>
          </w:tcPr>
          <w:p w14:paraId="39B2BE63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学生社区建设经验与难点对策</w:t>
            </w:r>
          </w:p>
          <w:p w14:paraId="54189992">
            <w:pPr>
              <w:spacing w:line="320" w:lineRule="exact"/>
              <w:jc w:val="center"/>
              <w:rPr>
                <w:rFonts w:ascii="Times New Roman" w:hAnsi="Times New Roman" w:eastAsia="仿宋" w:cs="仿宋"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研讨主题：党建引领、队伍入驻、学生参与、文化建设、数字赋能、条件保障</w:t>
            </w:r>
          </w:p>
        </w:tc>
      </w:tr>
      <w:tr w14:paraId="1EA9EA56">
        <w:trPr>
          <w:cantSplit/>
          <w:trHeight w:val="738" w:hRule="exact"/>
        </w:trPr>
        <w:tc>
          <w:tcPr>
            <w:tcW w:w="796" w:type="pct"/>
            <w:vMerge w:val="restart"/>
            <w:vAlign w:val="center"/>
          </w:tcPr>
          <w:p w14:paraId="01066AEA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10月16日</w:t>
            </w:r>
          </w:p>
          <w:p w14:paraId="6E403193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（周五）</w:t>
            </w:r>
          </w:p>
        </w:tc>
        <w:tc>
          <w:tcPr>
            <w:tcW w:w="422" w:type="pct"/>
            <w:vMerge w:val="restart"/>
            <w:vAlign w:val="center"/>
          </w:tcPr>
          <w:p w14:paraId="2FBAD8CE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上午</w:t>
            </w:r>
          </w:p>
        </w:tc>
        <w:tc>
          <w:tcPr>
            <w:tcW w:w="3782" w:type="pct"/>
            <w:gridSpan w:val="2"/>
            <w:vAlign w:val="center"/>
          </w:tcPr>
          <w:p w14:paraId="75C9FB1D">
            <w:pPr>
              <w:spacing w:line="320" w:lineRule="exact"/>
              <w:jc w:val="center"/>
              <w:rPr>
                <w:rFonts w:ascii="Times New Roman" w:hAnsi="Times New Roman" w:eastAsia="仿宋" w:cs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全国高校示范“一站式”学生社区建设典型案例分享</w:t>
            </w:r>
          </w:p>
        </w:tc>
      </w:tr>
      <w:tr w14:paraId="1CD109CC">
        <w:trPr>
          <w:cantSplit/>
          <w:trHeight w:val="680" w:hRule="exact"/>
        </w:trPr>
        <w:tc>
          <w:tcPr>
            <w:tcW w:w="796" w:type="pct"/>
            <w:vMerge w:val="continue"/>
            <w:vAlign w:val="center"/>
          </w:tcPr>
          <w:p w14:paraId="778FA574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</w:p>
        </w:tc>
        <w:tc>
          <w:tcPr>
            <w:tcW w:w="422" w:type="pct"/>
            <w:vMerge w:val="continue"/>
            <w:vAlign w:val="center"/>
          </w:tcPr>
          <w:p w14:paraId="5CCB4687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</w:p>
        </w:tc>
        <w:tc>
          <w:tcPr>
            <w:tcW w:w="3782" w:type="pct"/>
            <w:gridSpan w:val="2"/>
            <w:vAlign w:val="center"/>
          </w:tcPr>
          <w:p w14:paraId="61ECB518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结业式</w:t>
            </w:r>
          </w:p>
        </w:tc>
      </w:tr>
      <w:tr w14:paraId="44937527">
        <w:trPr>
          <w:cantSplit/>
          <w:trHeight w:val="680" w:hRule="exact"/>
        </w:trPr>
        <w:tc>
          <w:tcPr>
            <w:tcW w:w="796" w:type="pct"/>
            <w:vMerge w:val="continue"/>
            <w:vAlign w:val="center"/>
          </w:tcPr>
          <w:p w14:paraId="1A71A530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</w:p>
        </w:tc>
        <w:tc>
          <w:tcPr>
            <w:tcW w:w="422" w:type="pct"/>
            <w:vAlign w:val="center"/>
          </w:tcPr>
          <w:p w14:paraId="14DAE042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下午</w:t>
            </w:r>
          </w:p>
        </w:tc>
        <w:tc>
          <w:tcPr>
            <w:tcW w:w="3782" w:type="pct"/>
            <w:gridSpan w:val="2"/>
            <w:vAlign w:val="center"/>
          </w:tcPr>
          <w:p w14:paraId="15AA2B43">
            <w:pPr>
              <w:spacing w:line="320" w:lineRule="exact"/>
              <w:jc w:val="center"/>
              <w:rPr>
                <w:rFonts w:ascii="Times New Roman" w:hAnsi="Times New Roman" w:eastAsia="仿宋" w:cs="仿宋"/>
                <w:bCs/>
                <w:sz w:val="24"/>
              </w:rPr>
            </w:pPr>
            <w:r>
              <w:rPr>
                <w:rFonts w:hint="eastAsia" w:ascii="Times New Roman" w:hAnsi="Times New Roman" w:eastAsia="仿宋" w:cs="仿宋"/>
                <w:bCs/>
                <w:sz w:val="24"/>
              </w:rPr>
              <w:t>返程</w:t>
            </w:r>
          </w:p>
        </w:tc>
      </w:tr>
    </w:tbl>
    <w:p w14:paraId="7346F321">
      <w:pPr>
        <w:spacing w:line="560" w:lineRule="exact"/>
        <w:textAlignment w:val="baseline"/>
        <w:rPr>
          <w:rFonts w:hint="eastAsia" w:ascii="仿宋" w:hAnsi="仿宋" w:eastAsia="仿宋"/>
          <w:sz w:val="30"/>
          <w:szCs w:val="30"/>
        </w:rPr>
      </w:pPr>
    </w:p>
    <w:p w14:paraId="782A974B">
      <w:pPr>
        <w:spacing w:line="560" w:lineRule="exact"/>
        <w:textAlignment w:val="baseline"/>
        <w:rPr>
          <w:rFonts w:hint="eastAsia" w:ascii="仿宋" w:hAnsi="仿宋" w:eastAsia="仿宋"/>
          <w:sz w:val="30"/>
          <w:szCs w:val="30"/>
        </w:rPr>
      </w:pPr>
    </w:p>
    <w:p w14:paraId="6EF2F093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TSong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FF4CA1"/>
    <w:multiLevelType w:val="singleLevel"/>
    <w:tmpl w:val="67FF4CA1"/>
    <w:lvl w:ilvl="0" w:tentative="0">
      <w:start w:val="1"/>
      <w:numFmt w:val="decimal"/>
      <w:pStyle w:val="9"/>
      <w:lvlText w:val="[%1]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2D2A92"/>
    <w:rsid w:val="5F717FC7"/>
    <w:rsid w:val="6F2D2A92"/>
    <w:rsid w:val="DFEBE9E9"/>
    <w:rsid w:val="EEF72E6C"/>
    <w:rsid w:val="FFED8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="100" w:beforeLines="100" w:after="100" w:afterLines="100"/>
      <w:jc w:val="left"/>
      <w:outlineLvl w:val="0"/>
    </w:pPr>
    <w:rPr>
      <w:rFonts w:ascii="Times New Roman" w:hAnsi="Times New Roman" w:eastAsia="黑体"/>
      <w:bCs/>
      <w:kern w:val="44"/>
      <w:sz w:val="36"/>
      <w:szCs w:val="44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标题 1 字符"/>
    <w:basedOn w:val="5"/>
    <w:link w:val="2"/>
    <w:uiPriority w:val="9"/>
    <w:rPr>
      <w:rFonts w:ascii="Times New Roman" w:hAnsi="Times New Roman" w:eastAsia="黑体"/>
      <w:bCs/>
      <w:kern w:val="44"/>
      <w:sz w:val="36"/>
      <w:szCs w:val="44"/>
    </w:rPr>
  </w:style>
  <w:style w:type="paragraph" w:customStyle="1" w:styleId="7">
    <w:name w:val="表格"/>
    <w:basedOn w:val="1"/>
    <w:uiPriority w:val="0"/>
    <w:pPr>
      <w:spacing w:line="360" w:lineRule="auto"/>
      <w:ind w:firstLine="0" w:firstLineChars="0"/>
      <w:jc w:val="center"/>
    </w:pPr>
    <w:rPr>
      <w:rFonts w:hint="default" w:eastAsia="STSong" w:asciiTheme="minorAscii" w:hAnsiTheme="minorAscii" w:cstheme="minorEastAsia"/>
      <w:sz w:val="21"/>
    </w:rPr>
  </w:style>
  <w:style w:type="paragraph" w:customStyle="1" w:styleId="8">
    <w:name w:val="表格格式"/>
    <w:basedOn w:val="1"/>
    <w:uiPriority w:val="0"/>
    <w:pPr>
      <w:widowControl/>
      <w:ind w:firstLine="0" w:firstLineChars="0"/>
      <w:jc w:val="center"/>
      <w:textAlignment w:val="top"/>
    </w:pPr>
    <w:rPr>
      <w:rFonts w:hint="eastAsia" w:ascii="Times New Roman Bold" w:hAnsi="Times New Roman Bold" w:eastAsia="宋体" w:cs="宋体"/>
      <w:b/>
      <w:bCs/>
      <w:color w:val="000000"/>
      <w:kern w:val="0"/>
      <w:sz w:val="21"/>
      <w:szCs w:val="22"/>
      <w:u w:val="none"/>
      <w:lang w:bidi="ar"/>
    </w:rPr>
  </w:style>
  <w:style w:type="paragraph" w:customStyle="1" w:styleId="9">
    <w:name w:val="参考文献"/>
    <w:basedOn w:val="1"/>
    <w:uiPriority w:val="0"/>
    <w:pPr>
      <w:numPr>
        <w:ilvl w:val="0"/>
        <w:numId w:val="1"/>
      </w:numPr>
      <w:ind w:left="425" w:hanging="425" w:firstLineChars="0"/>
    </w:pPr>
    <w:rPr>
      <w:rFonts w:ascii="Times New Roman" w:hAnsi="Times New Roman" w:eastAsiaTheme="minorEastAsia" w:cstheme="majorEastAsia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2026-09-11T18:12:00Z</dcterms:created>
  <dc:creator>张雨晴</dc:creator>
  <cp:lastModifiedBy>张雨晴</cp:lastModifiedBy>
  <dcterms:modified xsi:type="dcterms:W3CDTF">2026-09-11T18:12:55Z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12B3822C17D063380FD4A36A13FA646A_41</vt:lpwstr>
  </property>
</Properties>
</file>