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9A0F6">
      <w:pPr>
        <w:pStyle w:val="3"/>
        <w:ind w:firstLine="0" w:firstLineChars="0"/>
        <w:rPr>
          <w:rFonts w:ascii="仿宋_GB2312" w:cs="方正小标宋简体"/>
        </w:rPr>
      </w:pPr>
      <w:bookmarkStart w:id="0" w:name="heading_11"/>
      <w:r>
        <w:rPr>
          <w:rFonts w:hint="eastAsia" w:ascii="黑体" w:hAnsi="黑体" w:eastAsia="黑体" w:cs="宋体"/>
          <w:szCs w:val="21"/>
        </w:rPr>
        <w:t>附件1</w:t>
      </w:r>
    </w:p>
    <w:p w14:paraId="762BECE6">
      <w:pPr>
        <w:pStyle w:val="11"/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高校实践育人共同体建设专题研修班</w:t>
      </w:r>
      <w:bookmarkEnd w:id="0"/>
      <w:r>
        <w:rPr>
          <w:rFonts w:hint="eastAsia" w:ascii="Times New Roman" w:hAnsi="Times New Roman" w:eastAsia="方正小标宋简体" w:cs="方正小标宋简体"/>
          <w:sz w:val="36"/>
          <w:szCs w:val="36"/>
        </w:rPr>
        <w:t>日程安排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26"/>
        <w:gridCol w:w="770"/>
        <w:gridCol w:w="5321"/>
      </w:tblGrid>
      <w:tr w14:paraId="792FAAEF">
        <w:trPr>
          <w:trHeight w:val="680" w:hRule="atLeast"/>
        </w:trPr>
        <w:tc>
          <w:tcPr>
            <w:tcW w:w="608" w:type="pct"/>
            <w:vAlign w:val="center"/>
          </w:tcPr>
          <w:p w14:paraId="4409F4A0">
            <w:pPr>
              <w:snapToGrid w:val="0"/>
              <w:spacing w:before="120" w:after="120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日期</w:t>
            </w:r>
          </w:p>
        </w:tc>
        <w:tc>
          <w:tcPr>
            <w:tcW w:w="782" w:type="pct"/>
            <w:vAlign w:val="center"/>
          </w:tcPr>
          <w:p w14:paraId="4E4CA0AC">
            <w:pPr>
              <w:snapToGrid w:val="0"/>
              <w:spacing w:before="120" w:after="120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时间</w:t>
            </w:r>
          </w:p>
        </w:tc>
        <w:tc>
          <w:tcPr>
            <w:tcW w:w="470" w:type="pct"/>
            <w:vAlign w:val="center"/>
          </w:tcPr>
          <w:p w14:paraId="2CCB7098">
            <w:pPr>
              <w:snapToGrid w:val="0"/>
              <w:spacing w:before="120" w:after="120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环节</w:t>
            </w:r>
          </w:p>
        </w:tc>
        <w:tc>
          <w:tcPr>
            <w:tcW w:w="3141" w:type="pct"/>
            <w:vAlign w:val="center"/>
          </w:tcPr>
          <w:p w14:paraId="4A6F9E0B">
            <w:pPr>
              <w:snapToGrid w:val="0"/>
              <w:spacing w:before="120" w:after="120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具体内容</w:t>
            </w:r>
          </w:p>
        </w:tc>
      </w:tr>
      <w:tr w14:paraId="2F5E16F7">
        <w:trPr>
          <w:trHeight w:val="758" w:hRule="exact"/>
        </w:trPr>
        <w:tc>
          <w:tcPr>
            <w:tcW w:w="608" w:type="pct"/>
            <w:vAlign w:val="center"/>
          </w:tcPr>
          <w:p w14:paraId="5CCCF508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6月5日（周五）</w:t>
            </w:r>
          </w:p>
        </w:tc>
        <w:tc>
          <w:tcPr>
            <w:tcW w:w="782" w:type="pct"/>
            <w:vAlign w:val="center"/>
          </w:tcPr>
          <w:p w14:paraId="26772C5D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14:00-22:00</w:t>
            </w:r>
          </w:p>
        </w:tc>
        <w:tc>
          <w:tcPr>
            <w:tcW w:w="3610" w:type="pct"/>
            <w:gridSpan w:val="2"/>
            <w:vAlign w:val="center"/>
          </w:tcPr>
          <w:p w14:paraId="235986B8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学员报到</w:t>
            </w:r>
          </w:p>
        </w:tc>
      </w:tr>
      <w:tr w14:paraId="662A4AC1">
        <w:trPr>
          <w:trHeight w:val="680" w:hRule="exact"/>
        </w:trPr>
        <w:tc>
          <w:tcPr>
            <w:tcW w:w="608" w:type="pct"/>
            <w:vMerge w:val="restart"/>
            <w:vAlign w:val="center"/>
          </w:tcPr>
          <w:p w14:paraId="13664190">
            <w:pPr>
              <w:snapToGrid w:val="0"/>
              <w:spacing w:before="120" w:after="120"/>
              <w:jc w:val="center"/>
              <w:rPr>
                <w:rFonts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6月6日</w:t>
            </w:r>
          </w:p>
          <w:p w14:paraId="1447A26A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（周六）</w:t>
            </w:r>
          </w:p>
        </w:tc>
        <w:tc>
          <w:tcPr>
            <w:tcW w:w="782" w:type="pct"/>
            <w:vAlign w:val="center"/>
          </w:tcPr>
          <w:p w14:paraId="1C5C4572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9:10-9:30</w:t>
            </w:r>
          </w:p>
        </w:tc>
        <w:tc>
          <w:tcPr>
            <w:tcW w:w="3610" w:type="pct"/>
            <w:gridSpan w:val="2"/>
            <w:vAlign w:val="center"/>
          </w:tcPr>
          <w:p w14:paraId="716B5F5C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开班式</w:t>
            </w:r>
          </w:p>
        </w:tc>
      </w:tr>
      <w:tr w14:paraId="382CF5E0">
        <w:trPr>
          <w:trHeight w:val="805" w:hRule="exact"/>
        </w:trPr>
        <w:tc>
          <w:tcPr>
            <w:tcW w:w="608" w:type="pct"/>
            <w:vMerge w:val="continue"/>
            <w:vAlign w:val="center"/>
          </w:tcPr>
          <w:p w14:paraId="72D6AB5A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Align w:val="center"/>
          </w:tcPr>
          <w:p w14:paraId="2D5DA88F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9:40-11:40</w:t>
            </w:r>
          </w:p>
        </w:tc>
        <w:tc>
          <w:tcPr>
            <w:tcW w:w="470" w:type="pct"/>
            <w:vAlign w:val="center"/>
          </w:tcPr>
          <w:p w14:paraId="0EAA2400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专题</w:t>
            </w:r>
          </w:p>
          <w:p w14:paraId="2F276288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报告</w:t>
            </w:r>
          </w:p>
        </w:tc>
        <w:tc>
          <w:tcPr>
            <w:tcW w:w="3141" w:type="pct"/>
            <w:vAlign w:val="center"/>
          </w:tcPr>
          <w:p w14:paraId="559CD021">
            <w:pPr>
              <w:snapToGrid w:val="0"/>
              <w:spacing w:before="120" w:after="120" w:line="220" w:lineRule="exac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新时代高校实践育人共同体建设的理论逻辑与创新路径</w:t>
            </w:r>
          </w:p>
        </w:tc>
      </w:tr>
      <w:tr w14:paraId="0E158AFF">
        <w:trPr>
          <w:trHeight w:val="680" w:hRule="exact"/>
        </w:trPr>
        <w:tc>
          <w:tcPr>
            <w:tcW w:w="608" w:type="pct"/>
            <w:vMerge w:val="continue"/>
            <w:vAlign w:val="center"/>
          </w:tcPr>
          <w:p w14:paraId="467507F7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Merge w:val="restart"/>
            <w:vAlign w:val="center"/>
          </w:tcPr>
          <w:p w14:paraId="2E305A23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14:30-17:30</w:t>
            </w:r>
          </w:p>
        </w:tc>
        <w:tc>
          <w:tcPr>
            <w:tcW w:w="470" w:type="pct"/>
            <w:vMerge w:val="restart"/>
            <w:vAlign w:val="center"/>
          </w:tcPr>
          <w:p w14:paraId="6DBAC468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专题</w:t>
            </w:r>
          </w:p>
          <w:p w14:paraId="2A5C1D9B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分享</w:t>
            </w:r>
          </w:p>
        </w:tc>
        <w:tc>
          <w:tcPr>
            <w:tcW w:w="3141" w:type="pct"/>
            <w:vAlign w:val="center"/>
          </w:tcPr>
          <w:p w14:paraId="3E514922">
            <w:pPr>
              <w:snapToGrid w:val="0"/>
              <w:spacing w:before="120" w:after="120" w:line="220" w:lineRule="exact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北京科技大学：新时代高校“钢筋铁骨”育人共同体建设</w:t>
            </w:r>
          </w:p>
        </w:tc>
      </w:tr>
      <w:tr w14:paraId="212921D7">
        <w:trPr>
          <w:trHeight w:val="680" w:hRule="exact"/>
        </w:trPr>
        <w:tc>
          <w:tcPr>
            <w:tcW w:w="608" w:type="pct"/>
            <w:vMerge w:val="continue"/>
            <w:vAlign w:val="center"/>
          </w:tcPr>
          <w:p w14:paraId="3A269EE9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Merge w:val="continue"/>
            <w:vAlign w:val="center"/>
          </w:tcPr>
          <w:p w14:paraId="69D4D2CF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470" w:type="pct"/>
            <w:vMerge w:val="continue"/>
            <w:vAlign w:val="center"/>
          </w:tcPr>
          <w:p w14:paraId="2BD5D27C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3141" w:type="pct"/>
            <w:vAlign w:val="center"/>
          </w:tcPr>
          <w:p w14:paraId="56DF1838">
            <w:pPr>
              <w:snapToGrid w:val="0"/>
              <w:spacing w:before="120" w:after="120" w:line="220" w:lineRule="exact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合肥工业大学：新时代高校“智驱领航 固本铸魂”育人共同体建设</w:t>
            </w:r>
          </w:p>
        </w:tc>
      </w:tr>
      <w:tr w14:paraId="2B5E93A2">
        <w:trPr>
          <w:trHeight w:val="1174" w:hRule="exact"/>
        </w:trPr>
        <w:tc>
          <w:tcPr>
            <w:tcW w:w="608" w:type="pct"/>
            <w:vMerge w:val="continue"/>
            <w:vAlign w:val="center"/>
          </w:tcPr>
          <w:p w14:paraId="6B91CFA0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Align w:val="center"/>
          </w:tcPr>
          <w:p w14:paraId="6F7A5BA5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19:00-21:00</w:t>
            </w:r>
          </w:p>
        </w:tc>
        <w:tc>
          <w:tcPr>
            <w:tcW w:w="470" w:type="pct"/>
            <w:vAlign w:val="center"/>
          </w:tcPr>
          <w:p w14:paraId="449258B9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分组</w:t>
            </w:r>
          </w:p>
          <w:p w14:paraId="526182A2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研讨</w:t>
            </w:r>
          </w:p>
        </w:tc>
        <w:tc>
          <w:tcPr>
            <w:tcW w:w="3141" w:type="pct"/>
            <w:vAlign w:val="center"/>
          </w:tcPr>
          <w:p w14:paraId="082A32AD">
            <w:pPr>
              <w:snapToGrid w:val="0"/>
              <w:spacing w:before="120" w:after="120" w:line="220" w:lineRule="exact"/>
              <w:rPr>
                <w:rFonts w:hint="eastAsia" w:ascii="仿宋_GB2312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</w:rPr>
              <w:t>高校育人共同体建设经验与难点对策</w:t>
            </w:r>
          </w:p>
          <w:p w14:paraId="3D8C4F65">
            <w:pPr>
              <w:pStyle w:val="12"/>
              <w:numPr>
                <w:ilvl w:val="0"/>
                <w:numId w:val="2"/>
              </w:numPr>
              <w:snapToGrid w:val="0"/>
              <w:spacing w:before="120" w:after="120" w:line="220" w:lineRule="exact"/>
              <w:ind w:firstLineChars="0"/>
              <w:jc w:val="left"/>
              <w:rPr>
                <w:rFonts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育人共同体组织架构与长效运行机制构建</w:t>
            </w:r>
          </w:p>
          <w:p w14:paraId="3C155DBC">
            <w:pPr>
              <w:pStyle w:val="12"/>
              <w:numPr>
                <w:ilvl w:val="0"/>
                <w:numId w:val="2"/>
              </w:numPr>
              <w:snapToGrid w:val="0"/>
              <w:spacing w:before="120" w:after="120" w:line="220" w:lineRule="exact"/>
              <w:ind w:firstLineChars="0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分行业分领域特色育人共同体建设路径</w:t>
            </w:r>
          </w:p>
        </w:tc>
      </w:tr>
      <w:tr w14:paraId="33D36817">
        <w:trPr>
          <w:trHeight w:val="680" w:hRule="exact"/>
        </w:trPr>
        <w:tc>
          <w:tcPr>
            <w:tcW w:w="608" w:type="pct"/>
            <w:vMerge w:val="restart"/>
            <w:vAlign w:val="center"/>
          </w:tcPr>
          <w:p w14:paraId="25B12131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  <w:bookmarkStart w:id="1" w:name="heading_12"/>
            <w:r>
              <w:rPr>
                <w:rFonts w:hint="eastAsia" w:ascii="仿宋_GB2312" w:eastAsia="仿宋_GB2312" w:cs="宋体"/>
                <w:sz w:val="22"/>
              </w:rPr>
              <w:t>6月7日</w:t>
            </w:r>
          </w:p>
          <w:p w14:paraId="3DFEA1C5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（周日）</w:t>
            </w:r>
          </w:p>
        </w:tc>
        <w:tc>
          <w:tcPr>
            <w:tcW w:w="782" w:type="pct"/>
            <w:vMerge w:val="restart"/>
            <w:vAlign w:val="center"/>
          </w:tcPr>
          <w:p w14:paraId="532DE225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9:00-11:30</w:t>
            </w:r>
          </w:p>
        </w:tc>
        <w:tc>
          <w:tcPr>
            <w:tcW w:w="470" w:type="pct"/>
            <w:vMerge w:val="restart"/>
            <w:vAlign w:val="center"/>
          </w:tcPr>
          <w:p w14:paraId="3B11C624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专题</w:t>
            </w:r>
          </w:p>
          <w:p w14:paraId="1A584410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分享</w:t>
            </w:r>
          </w:p>
        </w:tc>
        <w:tc>
          <w:tcPr>
            <w:tcW w:w="3141" w:type="pct"/>
            <w:vAlign w:val="center"/>
          </w:tcPr>
          <w:p w14:paraId="61C9139E">
            <w:pPr>
              <w:snapToGrid w:val="0"/>
              <w:spacing w:before="120" w:after="120" w:line="220" w:lineRule="exact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华中科技大学：新时代高校“追光逐梦”光电信息育人共同体建设</w:t>
            </w:r>
          </w:p>
        </w:tc>
      </w:tr>
      <w:tr w14:paraId="450718AA">
        <w:trPr>
          <w:trHeight w:val="680" w:hRule="exact"/>
        </w:trPr>
        <w:tc>
          <w:tcPr>
            <w:tcW w:w="608" w:type="pct"/>
            <w:vMerge w:val="continue"/>
            <w:vAlign w:val="center"/>
          </w:tcPr>
          <w:p w14:paraId="1BC6F62F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Merge w:val="continue"/>
            <w:vAlign w:val="center"/>
          </w:tcPr>
          <w:p w14:paraId="7B668C22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470" w:type="pct"/>
            <w:vMerge w:val="continue"/>
            <w:vAlign w:val="center"/>
          </w:tcPr>
          <w:p w14:paraId="5BBE4687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3141" w:type="pct"/>
            <w:vAlign w:val="center"/>
          </w:tcPr>
          <w:p w14:paraId="2B9191EB">
            <w:pPr>
              <w:snapToGrid w:val="0"/>
              <w:spacing w:before="120" w:after="120" w:line="220" w:lineRule="exact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中国地质大学（武汉）：新时代高校“守护长江 培根铸魂” 育人共同体建设</w:t>
            </w:r>
          </w:p>
        </w:tc>
      </w:tr>
      <w:tr w14:paraId="324FD2B4">
        <w:trPr>
          <w:trHeight w:val="680" w:hRule="exact"/>
        </w:trPr>
        <w:tc>
          <w:tcPr>
            <w:tcW w:w="608" w:type="pct"/>
            <w:vMerge w:val="continue"/>
            <w:vAlign w:val="center"/>
          </w:tcPr>
          <w:p w14:paraId="0653CC89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Merge w:val="continue"/>
            <w:vAlign w:val="center"/>
          </w:tcPr>
          <w:p w14:paraId="3F41221E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470" w:type="pct"/>
            <w:vMerge w:val="continue"/>
            <w:vAlign w:val="center"/>
          </w:tcPr>
          <w:p w14:paraId="12499142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3141" w:type="pct"/>
            <w:vAlign w:val="center"/>
          </w:tcPr>
          <w:p w14:paraId="34C44573">
            <w:pPr>
              <w:snapToGrid w:val="0"/>
              <w:spacing w:before="120" w:after="120" w:line="220" w:lineRule="exact"/>
              <w:jc w:val="left"/>
              <w:rPr>
                <w:rFonts w:hint="eastAsia" w:ascii="仿宋_GB2312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江南大学：新时代高校“行大食物观 铸新时代魂”育人共同体建设</w:t>
            </w:r>
          </w:p>
        </w:tc>
      </w:tr>
      <w:tr w14:paraId="5EA1B2BA">
        <w:trPr>
          <w:trHeight w:val="809" w:hRule="exact"/>
        </w:trPr>
        <w:tc>
          <w:tcPr>
            <w:tcW w:w="608" w:type="pct"/>
            <w:vMerge w:val="continue"/>
            <w:vAlign w:val="center"/>
          </w:tcPr>
          <w:p w14:paraId="71E9B90B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Align w:val="center"/>
          </w:tcPr>
          <w:p w14:paraId="21B1AD96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14:30-17:30</w:t>
            </w:r>
          </w:p>
        </w:tc>
        <w:tc>
          <w:tcPr>
            <w:tcW w:w="470" w:type="pct"/>
            <w:vAlign w:val="center"/>
          </w:tcPr>
          <w:p w14:paraId="22A57EC6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实地</w:t>
            </w:r>
          </w:p>
          <w:p w14:paraId="79175EC0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调研</w:t>
            </w:r>
          </w:p>
        </w:tc>
        <w:tc>
          <w:tcPr>
            <w:tcW w:w="3141" w:type="pct"/>
            <w:vAlign w:val="center"/>
          </w:tcPr>
          <w:p w14:paraId="709101EA">
            <w:pPr>
              <w:snapToGrid w:val="0"/>
              <w:spacing w:before="120" w:after="120" w:line="220" w:lineRule="exact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实践育人共同成员企业、科研院所</w:t>
            </w:r>
          </w:p>
        </w:tc>
      </w:tr>
      <w:tr w14:paraId="7CD3A71A">
        <w:trPr>
          <w:trHeight w:val="1554" w:hRule="exact"/>
        </w:trPr>
        <w:tc>
          <w:tcPr>
            <w:tcW w:w="608" w:type="pct"/>
            <w:vMerge w:val="continue"/>
            <w:vAlign w:val="center"/>
          </w:tcPr>
          <w:p w14:paraId="44539C1B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Align w:val="center"/>
          </w:tcPr>
          <w:p w14:paraId="67FAF9E1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19:00-21:00</w:t>
            </w:r>
          </w:p>
        </w:tc>
        <w:tc>
          <w:tcPr>
            <w:tcW w:w="470" w:type="pct"/>
            <w:vAlign w:val="center"/>
          </w:tcPr>
          <w:p w14:paraId="0D09CFC3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分组</w:t>
            </w:r>
          </w:p>
          <w:p w14:paraId="73D680D9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研讨</w:t>
            </w:r>
          </w:p>
        </w:tc>
        <w:tc>
          <w:tcPr>
            <w:tcW w:w="3141" w:type="pct"/>
            <w:vAlign w:val="center"/>
          </w:tcPr>
          <w:p w14:paraId="4C790768">
            <w:pPr>
              <w:snapToGrid w:val="0"/>
              <w:spacing w:before="120" w:after="120" w:line="220" w:lineRule="exact"/>
              <w:rPr>
                <w:rFonts w:hint="eastAsia" w:ascii="仿宋_GB2312" w:eastAsia="仿宋_GB2312" w:cs="宋体"/>
                <w:b/>
                <w:bCs/>
                <w:sz w:val="22"/>
              </w:rPr>
            </w:pPr>
            <w:r>
              <w:rPr>
                <w:rFonts w:hint="eastAsia" w:ascii="仿宋_GB2312" w:eastAsia="仿宋_GB2312" w:cs="宋体"/>
                <w:b/>
                <w:bCs/>
                <w:sz w:val="22"/>
              </w:rPr>
              <w:t>高校育人共同体建设经验与难点对策</w:t>
            </w:r>
          </w:p>
          <w:p w14:paraId="6842C44D">
            <w:pPr>
              <w:pStyle w:val="12"/>
              <w:numPr>
                <w:ilvl w:val="0"/>
                <w:numId w:val="3"/>
              </w:numPr>
              <w:snapToGrid w:val="0"/>
              <w:spacing w:before="120" w:after="120" w:line="220" w:lineRule="exact"/>
              <w:ind w:firstLineChars="0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跨校跨区域育人资源整合与协同模式创新</w:t>
            </w:r>
          </w:p>
          <w:p w14:paraId="74FDF37C">
            <w:pPr>
              <w:pStyle w:val="12"/>
              <w:numPr>
                <w:ilvl w:val="0"/>
                <w:numId w:val="3"/>
              </w:numPr>
              <w:snapToGrid w:val="0"/>
              <w:spacing w:before="120" w:after="120" w:line="220" w:lineRule="exact"/>
              <w:ind w:firstLineChars="0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数字化赋能育人共同体高质量发展实践</w:t>
            </w:r>
          </w:p>
          <w:p w14:paraId="56B09E57">
            <w:pPr>
              <w:pStyle w:val="12"/>
              <w:numPr>
                <w:ilvl w:val="0"/>
                <w:numId w:val="3"/>
              </w:numPr>
              <w:snapToGrid w:val="0"/>
              <w:spacing w:before="120" w:after="120" w:line="220" w:lineRule="exact"/>
              <w:ind w:firstLineChars="0"/>
              <w:jc w:val="left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育人共同体与“大思政”体系深度融合策略</w:t>
            </w:r>
          </w:p>
        </w:tc>
      </w:tr>
      <w:tr w14:paraId="6EC8AB8D">
        <w:trPr>
          <w:trHeight w:val="567" w:hRule="exact"/>
        </w:trPr>
        <w:tc>
          <w:tcPr>
            <w:tcW w:w="608" w:type="pct"/>
            <w:vMerge w:val="restart"/>
            <w:vAlign w:val="center"/>
          </w:tcPr>
          <w:p w14:paraId="0148742E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6月8日</w:t>
            </w:r>
          </w:p>
          <w:p w14:paraId="56FCAEC1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（周一）</w:t>
            </w:r>
          </w:p>
        </w:tc>
        <w:tc>
          <w:tcPr>
            <w:tcW w:w="782" w:type="pct"/>
            <w:vMerge w:val="restart"/>
            <w:vAlign w:val="center"/>
          </w:tcPr>
          <w:p w14:paraId="11B046FD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9:00-11:30</w:t>
            </w:r>
          </w:p>
        </w:tc>
        <w:tc>
          <w:tcPr>
            <w:tcW w:w="3610" w:type="pct"/>
            <w:gridSpan w:val="2"/>
            <w:vAlign w:val="center"/>
          </w:tcPr>
          <w:p w14:paraId="28A0CE22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各组代表交流分享</w:t>
            </w:r>
          </w:p>
        </w:tc>
      </w:tr>
      <w:tr w14:paraId="1FC5BC50">
        <w:trPr>
          <w:trHeight w:val="567" w:hRule="exact"/>
        </w:trPr>
        <w:tc>
          <w:tcPr>
            <w:tcW w:w="608" w:type="pct"/>
            <w:vMerge w:val="continue"/>
            <w:vAlign w:val="center"/>
          </w:tcPr>
          <w:p w14:paraId="54AD8793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Merge w:val="continue"/>
            <w:vAlign w:val="center"/>
          </w:tcPr>
          <w:p w14:paraId="4124A7F9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3610" w:type="pct"/>
            <w:gridSpan w:val="2"/>
            <w:vAlign w:val="center"/>
          </w:tcPr>
          <w:p w14:paraId="68A60FFA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结业式</w:t>
            </w:r>
          </w:p>
        </w:tc>
      </w:tr>
      <w:tr w14:paraId="37469D1B">
        <w:trPr>
          <w:trHeight w:val="567" w:hRule="exact"/>
        </w:trPr>
        <w:tc>
          <w:tcPr>
            <w:tcW w:w="608" w:type="pct"/>
            <w:vMerge w:val="continue"/>
            <w:vAlign w:val="center"/>
          </w:tcPr>
          <w:p w14:paraId="20D5803A">
            <w:pPr>
              <w:snapToGrid w:val="0"/>
              <w:spacing w:before="120" w:after="120"/>
              <w:jc w:val="center"/>
              <w:rPr>
                <w:rFonts w:hint="eastAsia" w:ascii="仿宋_GB2312" w:eastAsia="仿宋_GB2312" w:cs="宋体"/>
                <w:sz w:val="22"/>
              </w:rPr>
            </w:pPr>
          </w:p>
        </w:tc>
        <w:tc>
          <w:tcPr>
            <w:tcW w:w="782" w:type="pct"/>
            <w:vAlign w:val="center"/>
          </w:tcPr>
          <w:p w14:paraId="5A1080D8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下午</w:t>
            </w:r>
          </w:p>
        </w:tc>
        <w:tc>
          <w:tcPr>
            <w:tcW w:w="3610" w:type="pct"/>
            <w:gridSpan w:val="2"/>
            <w:vAlign w:val="center"/>
          </w:tcPr>
          <w:p w14:paraId="3F4D12CF">
            <w:pPr>
              <w:snapToGrid w:val="0"/>
              <w:spacing w:before="120" w:after="120" w:line="220" w:lineRule="exact"/>
              <w:jc w:val="center"/>
              <w:rPr>
                <w:rFonts w:hint="eastAsia" w:ascii="仿宋_GB2312" w:eastAsia="仿宋_GB2312" w:cs="宋体"/>
                <w:sz w:val="22"/>
              </w:rPr>
            </w:pPr>
            <w:r>
              <w:rPr>
                <w:rFonts w:hint="eastAsia" w:ascii="仿宋_GB2312" w:eastAsia="仿宋_GB2312" w:cs="宋体"/>
                <w:sz w:val="22"/>
              </w:rPr>
              <w:t>返程</w:t>
            </w:r>
          </w:p>
        </w:tc>
      </w:tr>
      <w:bookmarkEnd w:id="1"/>
    </w:tbl>
    <w:p w14:paraId="5A478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33CC4"/>
    <w:multiLevelType w:val="multilevel"/>
    <w:tmpl w:val="1FC33CC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7FF4CA1"/>
    <w:multiLevelType w:val="singleLevel"/>
    <w:tmpl w:val="67FF4CA1"/>
    <w:lvl w:ilvl="0" w:tentative="0">
      <w:start w:val="1"/>
      <w:numFmt w:val="decimal"/>
      <w:pStyle w:val="10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71120017"/>
    <w:multiLevelType w:val="multilevel"/>
    <w:tmpl w:val="711200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F0C38"/>
    <w:rsid w:val="5F717FC7"/>
    <w:rsid w:val="67DF0C38"/>
    <w:rsid w:val="DFEBE9E9"/>
    <w:rsid w:val="EEF72E6C"/>
    <w:rsid w:val="F1AF8DA2"/>
    <w:rsid w:val="FFED8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00" w:beforeLines="100" w:after="100" w:afterLines="100"/>
      <w:jc w:val="left"/>
      <w:outlineLvl w:val="0"/>
    </w:pPr>
    <w:rPr>
      <w:rFonts w:ascii="Times New Roman" w:hAnsi="Times New Roman" w:eastAsia="黑体"/>
      <w:bCs/>
      <w:kern w:val="44"/>
      <w:sz w:val="36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字符"/>
    <w:basedOn w:val="6"/>
    <w:link w:val="2"/>
    <w:uiPriority w:val="9"/>
    <w:rPr>
      <w:rFonts w:ascii="Times New Roman" w:hAnsi="Times New Roman" w:eastAsia="黑体"/>
      <w:bCs/>
      <w:kern w:val="44"/>
      <w:sz w:val="36"/>
      <w:szCs w:val="44"/>
    </w:rPr>
  </w:style>
  <w:style w:type="paragraph" w:customStyle="1" w:styleId="8">
    <w:name w:val="表格"/>
    <w:basedOn w:val="1"/>
    <w:uiPriority w:val="0"/>
    <w:pPr>
      <w:spacing w:line="360" w:lineRule="auto"/>
      <w:ind w:firstLine="0" w:firstLineChars="0"/>
      <w:jc w:val="center"/>
    </w:pPr>
    <w:rPr>
      <w:rFonts w:hint="default" w:eastAsia="STSong" w:asciiTheme="minorAscii" w:hAnsiTheme="minorAscii" w:cstheme="minorEastAsia"/>
      <w:sz w:val="21"/>
    </w:rPr>
  </w:style>
  <w:style w:type="paragraph" w:customStyle="1" w:styleId="9">
    <w:name w:val="表格格式"/>
    <w:basedOn w:val="1"/>
    <w:uiPriority w:val="0"/>
    <w:pPr>
      <w:widowControl/>
      <w:ind w:firstLine="0" w:firstLineChars="0"/>
      <w:jc w:val="center"/>
      <w:textAlignment w:val="top"/>
    </w:pPr>
    <w:rPr>
      <w:rFonts w:hint="eastAsia" w:ascii="Times New Roman Bold" w:hAnsi="Times New Roman Bold" w:eastAsia="宋体" w:cs="宋体"/>
      <w:b/>
      <w:bCs/>
      <w:color w:val="000000"/>
      <w:kern w:val="0"/>
      <w:sz w:val="21"/>
      <w:szCs w:val="22"/>
      <w:u w:val="none"/>
      <w:lang w:bidi="ar"/>
    </w:rPr>
  </w:style>
  <w:style w:type="paragraph" w:customStyle="1" w:styleId="10">
    <w:name w:val="参考文献"/>
    <w:basedOn w:val="1"/>
    <w:uiPriority w:val="0"/>
    <w:pPr>
      <w:numPr>
        <w:ilvl w:val="0"/>
        <w:numId w:val="1"/>
      </w:numPr>
      <w:ind w:left="425" w:hanging="425" w:firstLineChars="0"/>
    </w:pPr>
    <w:rPr>
      <w:rFonts w:ascii="Times New Roman" w:hAnsi="Times New Roman" w:eastAsiaTheme="minorEastAsia" w:cstheme="majorEastAsia"/>
      <w:sz w:val="21"/>
    </w:rPr>
  </w:style>
  <w:style w:type="paragraph" w:customStyle="1" w:styleId="11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2026-05-13T17:00:00Z</dcterms:created>
  <dc:creator>张雨晴</dc:creator>
  <cp:lastModifiedBy>张雨晴</cp:lastModifiedBy>
  <dcterms:modified xsi:type="dcterms:W3CDTF">2026-05-13T11:03:03Z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212487479E225AC918CD036AD484AF48_41</vt:lpwstr>
  </property>
</Properties>
</file>